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0D928FC8">
            <wp:simplePos x="0" y="0"/>
            <wp:positionH relativeFrom="margin">
              <wp:posOffset>3691255</wp:posOffset>
            </wp:positionH>
            <wp:positionV relativeFrom="margin">
              <wp:posOffset>-390525</wp:posOffset>
            </wp:positionV>
            <wp:extent cx="1677670" cy="400050"/>
            <wp:effectExtent l="0" t="0" r="0" b="0"/>
            <wp:wrapTight wrapText="bothSides">
              <wp:wrapPolygon edited="0">
                <wp:start x="0" y="0"/>
                <wp:lineTo x="0" y="20571"/>
                <wp:lineTo x="21338" y="20571"/>
                <wp:lineTo x="21338"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7670" cy="400050"/>
                    </a:xfrm>
                    <a:prstGeom prst="rect">
                      <a:avLst/>
                    </a:prstGeom>
                  </pic:spPr>
                </pic:pic>
              </a:graphicData>
            </a:graphic>
            <wp14:sizeRelH relativeFrom="margin">
              <wp14:pctWidth>0</wp14:pctWidth>
            </wp14:sizeRelH>
            <wp14:sizeRelV relativeFrom="margin">
              <wp14:pctHeight>0</wp14:pctHeight>
            </wp14:sizeRelV>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2A67F94A" w:rsidR="00AC6667" w:rsidRPr="007648D3" w:rsidRDefault="00A763C6"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Southwell Town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C34A02">
        <w:rPr>
          <w:rFonts w:asciiTheme="minorHAnsi" w:eastAsia="Times New Roman" w:hAnsiTheme="minorHAnsi" w:cstheme="minorHAnsi"/>
          <w:b/>
          <w:bCs/>
          <w:sz w:val="22"/>
          <w:szCs w:val="22"/>
          <w:lang w:val="en-GB" w:eastAsia="en-GB"/>
        </w:rPr>
        <w:t>o</w:t>
      </w:r>
      <w:r w:rsidR="00C34A02" w:rsidRPr="007648D3">
        <w:rPr>
          <w:rFonts w:asciiTheme="minorHAnsi" w:eastAsia="Times New Roman" w:hAnsiTheme="minorHAnsi" w:cstheme="minorHAnsi"/>
          <w:b/>
          <w:bCs/>
          <w:sz w:val="22"/>
          <w:szCs w:val="22"/>
          <w:lang w:val="en-GB" w:eastAsia="en-GB"/>
        </w:rPr>
        <w:t>fficers,</w:t>
      </w:r>
      <w:r w:rsidR="00F16206" w:rsidRPr="007648D3">
        <w:rPr>
          <w:rFonts w:asciiTheme="minorHAnsi" w:eastAsia="Times New Roman" w:hAnsiTheme="minorHAnsi" w:cstheme="minorHAnsi"/>
          <w:b/>
          <w:bCs/>
          <w:sz w:val="22"/>
          <w:szCs w:val="22"/>
          <w:lang w:val="en-GB" w:eastAsia="en-GB"/>
        </w:rPr>
        <w:t xml:space="preserve">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1C97480A" w:rsidR="00AC6667" w:rsidRPr="007648D3" w:rsidRDefault="00A763C6"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 xml:space="preserve">Southwell Town Council </w:t>
      </w:r>
      <w:r w:rsidRPr="2D8EBE47">
        <w:rPr>
          <w:rFonts w:asciiTheme="minorHAnsi" w:eastAsia="Times New Roman" w:hAnsiTheme="minorHAnsi" w:cstheme="minorBidi"/>
          <w:color w:val="auto"/>
          <w:sz w:val="22"/>
          <w:szCs w:val="22"/>
          <w:lang w:val="en-GB" w:eastAsia="en-GB"/>
        </w:rPr>
        <w:t>is</w:t>
      </w:r>
      <w:r w:rsidR="00AC6667" w:rsidRPr="2D8EBE47">
        <w:rPr>
          <w:rFonts w:asciiTheme="minorHAnsi" w:eastAsia="Times New Roman" w:hAnsiTheme="minorHAnsi" w:cstheme="minorBidi"/>
          <w:color w:val="auto"/>
          <w:sz w:val="22"/>
          <w:szCs w:val="22"/>
          <w:lang w:val="en-GB" w:eastAsia="en-GB"/>
        </w:rPr>
        <w:t xml:space="preserve">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r w:rsidR="00AC6667" w:rsidRPr="2D8EBE47">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72B37B1A"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A763C6">
        <w:rPr>
          <w:rFonts w:asciiTheme="minorHAnsi" w:hAnsiTheme="minorHAnsi" w:cstheme="minorHAnsi"/>
          <w:sz w:val="22"/>
          <w:szCs w:val="22"/>
        </w:rPr>
        <w:t xml:space="preserve">Southwell Town Council </w:t>
      </w:r>
      <w:r w:rsidRPr="007648D3">
        <w:rPr>
          <w:rFonts w:asciiTheme="minorHAnsi" w:hAnsiTheme="minorHAnsi" w:cstheme="minorHAnsi"/>
          <w:sz w:val="22"/>
          <w:szCs w:val="22"/>
        </w:rPr>
        <w:t xml:space="preserve">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 the Civility Pledge, as a commitment to civility and respect in our work, and politeness and courtesy in behaviour,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6368CB9C"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 xml:space="preserve">explains how we will respond to complaints of bullying or </w:t>
      </w:r>
      <w:r w:rsidR="00270EF0" w:rsidRPr="007648D3">
        <w:rPr>
          <w:rFonts w:asciiTheme="minorHAnsi" w:hAnsiTheme="minorHAnsi" w:cstheme="minorHAnsi"/>
          <w:sz w:val="22"/>
          <w:szCs w:val="22"/>
        </w:rPr>
        <w:t>harassment</w:t>
      </w:r>
      <w:r w:rsidR="00270EF0">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77572E55"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by </w:t>
      </w:r>
      <w:r w:rsidR="009B464C" w:rsidRPr="00A763C6">
        <w:rPr>
          <w:rFonts w:asciiTheme="minorHAnsi" w:hAnsiTheme="minorHAnsi" w:cstheme="minorBidi"/>
          <w:color w:val="333333"/>
          <w:sz w:val="22"/>
          <w:szCs w:val="22"/>
        </w:rPr>
        <w:t>clerks</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 </w:t>
      </w:r>
      <w:r w:rsidR="00A763C6">
        <w:rPr>
          <w:rFonts w:asciiTheme="minorHAnsi" w:hAnsiTheme="minorHAnsi" w:cstheme="minorBidi"/>
          <w:color w:val="333333"/>
          <w:sz w:val="22"/>
          <w:szCs w:val="22"/>
        </w:rPr>
        <w:t xml:space="preserve">Southwell Town </w:t>
      </w:r>
      <w:r w:rsidR="00270EF0">
        <w:rPr>
          <w:rFonts w:asciiTheme="minorHAnsi" w:hAnsiTheme="minorHAnsi" w:cstheme="minorBidi"/>
          <w:color w:val="333333"/>
          <w:sz w:val="22"/>
          <w:szCs w:val="22"/>
        </w:rPr>
        <w:t xml:space="preserve">Council </w:t>
      </w:r>
      <w:r w:rsidR="00270EF0" w:rsidRPr="2D8EBE47">
        <w:rPr>
          <w:rFonts w:asciiTheme="minorHAnsi" w:hAnsiTheme="minorHAnsi" w:cstheme="minorBidi"/>
          <w:color w:val="333333"/>
          <w:sz w:val="22"/>
          <w:szCs w:val="22"/>
        </w:rPr>
        <w:t>Should</w:t>
      </w:r>
      <w:r w:rsidRPr="2D8EBE47">
        <w:rPr>
          <w:rFonts w:asciiTheme="minorHAnsi" w:hAnsiTheme="minorHAnsi" w:cstheme="minorBidi"/>
          <w:color w:val="333333"/>
          <w:sz w:val="22"/>
          <w:szCs w:val="22"/>
        </w:rPr>
        <w:t xml:space="preserve"> agency staff, or contractors have a complaint connected to their engagement with </w:t>
      </w:r>
      <w:r w:rsidR="00A763C6">
        <w:rPr>
          <w:rFonts w:asciiTheme="minorHAnsi" w:hAnsiTheme="minorHAnsi" w:cstheme="minorBidi"/>
          <w:color w:val="333333"/>
          <w:sz w:val="22"/>
          <w:szCs w:val="22"/>
        </w:rPr>
        <w:t xml:space="preserve">Southwell Town </w:t>
      </w:r>
      <w:r w:rsidR="00270EF0">
        <w:rPr>
          <w:rFonts w:asciiTheme="minorHAnsi" w:hAnsiTheme="minorHAnsi" w:cstheme="minorBidi"/>
          <w:color w:val="333333"/>
          <w:sz w:val="22"/>
          <w:szCs w:val="22"/>
        </w:rPr>
        <w:t xml:space="preserve">Council </w:t>
      </w:r>
      <w:r w:rsidR="00270EF0" w:rsidRPr="2D8EBE47">
        <w:rPr>
          <w:rFonts w:asciiTheme="minorHAnsi" w:hAnsiTheme="minorHAnsi" w:cstheme="minorBidi"/>
          <w:color w:val="333333"/>
          <w:sz w:val="22"/>
          <w:szCs w:val="22"/>
        </w:rPr>
        <w:t>this</w:t>
      </w:r>
      <w:r w:rsidRPr="2D8EBE47">
        <w:rPr>
          <w:rFonts w:asciiTheme="minorHAnsi" w:hAnsiTheme="minorHAnsi" w:cstheme="minorBidi"/>
          <w:color w:val="333333"/>
          <w:sz w:val="22"/>
          <w:szCs w:val="22"/>
        </w:rPr>
        <w:t xml:space="preserve">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xml:space="preserve">, or the Chair of the Council, in the first instance. </w:t>
      </w:r>
      <w:r w:rsidR="00B65AF2"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raised to the </w:t>
      </w:r>
      <w:r w:rsidR="009B464C" w:rsidRPr="00A763C6">
        <w:rPr>
          <w:rFonts w:asciiTheme="minorHAnsi" w:hAnsiTheme="minorHAnsi" w:cstheme="minorBidi"/>
          <w:color w:val="333333"/>
        </w:rPr>
        <w:t xml:space="preserve">deputy </w:t>
      </w:r>
      <w:r w:rsidR="00A763C6" w:rsidRPr="00A763C6">
        <w:rPr>
          <w:rFonts w:asciiTheme="minorHAnsi" w:hAnsiTheme="minorHAnsi" w:cstheme="minorBidi"/>
          <w:color w:val="333333"/>
        </w:rPr>
        <w:t>chair.</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are equally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3E024B0A" w:rsidR="00AC6667" w:rsidRDefault="001B6A87" w:rsidP="007648D3">
      <w:pPr>
        <w:pStyle w:val="NormalWeb"/>
        <w:shd w:val="clear" w:color="auto" w:fill="FFFFFF"/>
        <w:spacing w:before="0" w:beforeAutospacing="0" w:after="180" w:afterAutospacing="0" w:line="276" w:lineRule="auto"/>
        <w:jc w:val="both"/>
        <w:rPr>
          <w:rFonts w:asciiTheme="minorHAnsi" w:eastAsiaTheme="majorEastAsia"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EB0623">
        <w:rPr>
          <w:rFonts w:asciiTheme="minorHAnsi" w:eastAsiaTheme="majorEastAsia" w:hAnsiTheme="minorHAnsi" w:cstheme="minorHAnsi"/>
          <w:color w:val="333333"/>
          <w:sz w:val="22"/>
          <w:szCs w:val="22"/>
        </w:rPr>
        <w:t>councillor</w:t>
      </w:r>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7905910D" w14:textId="77777777" w:rsidR="00A763C6" w:rsidRPr="007648D3" w:rsidRDefault="00A763C6"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3375BD8F"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A763C6">
        <w:rPr>
          <w:rFonts w:asciiTheme="minorHAnsi" w:hAnsiTheme="minorHAnsi" w:cstheme="minorHAnsi"/>
          <w:sz w:val="22"/>
          <w:szCs w:val="22"/>
        </w:rPr>
        <w:t xml:space="preserve">Southwell Town </w:t>
      </w:r>
      <w:r w:rsidR="00270EF0">
        <w:rPr>
          <w:rFonts w:asciiTheme="minorHAnsi" w:hAnsiTheme="minorHAnsi" w:cstheme="minorHAnsi"/>
          <w:sz w:val="22"/>
          <w:szCs w:val="22"/>
        </w:rPr>
        <w:t xml:space="preserve">Council </w:t>
      </w:r>
      <w:r w:rsidR="00270EF0" w:rsidRPr="00464BE4">
        <w:rPr>
          <w:rFonts w:asciiTheme="minorHAnsi" w:hAnsiTheme="minorHAnsi" w:cstheme="minorHAnsi"/>
          <w:sz w:val="22"/>
          <w:szCs w:val="22"/>
        </w:rPr>
        <w:t>will</w:t>
      </w:r>
      <w:r w:rsidRPr="00464BE4">
        <w:rPr>
          <w:rFonts w:asciiTheme="minorHAnsi" w:hAnsiTheme="minorHAnsi" w:cstheme="minorHAnsi"/>
          <w:sz w:val="22"/>
          <w:szCs w:val="22"/>
        </w:rPr>
        <w:t xml:space="preserve">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1B7BF93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Pr="00A763C6">
        <w:rPr>
          <w:rFonts w:asciiTheme="minorHAnsi" w:hAnsiTheme="minorHAnsi" w:cstheme="minorHAnsi"/>
          <w:sz w:val="22"/>
          <w:szCs w:val="22"/>
        </w:rPr>
        <w:t>[</w:t>
      </w:r>
      <w:r w:rsidR="006D0E2C" w:rsidRPr="00A763C6">
        <w:rPr>
          <w:rFonts w:asciiTheme="minorHAnsi" w:hAnsiTheme="minorHAnsi" w:cstheme="minorHAnsi"/>
          <w:sz w:val="22"/>
          <w:szCs w:val="22"/>
        </w:rPr>
        <w:t xml:space="preserve">civility </w:t>
      </w:r>
      <w:r w:rsidRPr="00A763C6">
        <w:rPr>
          <w:rFonts w:asciiTheme="minorHAnsi" w:hAnsiTheme="minorHAnsi" w:cstheme="minorHAnsi"/>
          <w:sz w:val="22"/>
          <w:szCs w:val="22"/>
        </w:rPr>
        <w:t xml:space="preserve">and </w:t>
      </w:r>
      <w:r w:rsidR="006D0E2C" w:rsidRPr="00A763C6">
        <w:rPr>
          <w:rFonts w:asciiTheme="minorHAnsi" w:hAnsiTheme="minorHAnsi" w:cstheme="minorHAnsi"/>
          <w:sz w:val="22"/>
          <w:szCs w:val="22"/>
        </w:rPr>
        <w:t>respect pledge</w:t>
      </w:r>
      <w:r w:rsidRPr="00A763C6">
        <w:rPr>
          <w:rFonts w:asciiTheme="minorHAnsi" w:hAnsiTheme="minorHAnsi" w:cstheme="minorHAnsi"/>
          <w:sz w:val="22"/>
          <w:szCs w:val="22"/>
        </w:rPr>
        <w:t>],</w:t>
      </w:r>
      <w:r w:rsidRPr="007648D3">
        <w:rPr>
          <w:rFonts w:asciiTheme="minorHAnsi" w:hAnsiTheme="minorHAnsi" w:cstheme="minorHAnsi"/>
          <w:sz w:val="22"/>
          <w:szCs w:val="22"/>
        </w:rPr>
        <w:t xml:space="preserve"> </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 xml:space="preserve">quality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lastRenderedPageBreak/>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0C3563D9"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Withholding </w:t>
      </w:r>
      <w:r w:rsidR="00270EF0" w:rsidRPr="007648D3">
        <w:rPr>
          <w:rFonts w:asciiTheme="minorHAnsi" w:hAnsiTheme="minorHAnsi" w:cstheme="minorHAnsi"/>
          <w:sz w:val="22"/>
          <w:szCs w:val="22"/>
        </w:rPr>
        <w:t>information,</w:t>
      </w:r>
      <w:r w:rsidRPr="007648D3">
        <w:rPr>
          <w:rFonts w:asciiTheme="minorHAnsi" w:hAnsiTheme="minorHAnsi" w:cstheme="minorHAnsi"/>
          <w:sz w:val="22"/>
          <w:szCs w:val="22"/>
        </w:rPr>
        <w:t xml:space="preserve">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28C6B408"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and harassment can occur through verbal and face to face </w:t>
      </w:r>
      <w:r w:rsidR="00270EF0" w:rsidRPr="007648D3">
        <w:rPr>
          <w:rFonts w:asciiTheme="minorHAnsi" w:hAnsiTheme="minorHAnsi" w:cstheme="minorHAnsi"/>
          <w:sz w:val="22"/>
          <w:szCs w:val="22"/>
        </w:rPr>
        <w:t>interactions but</w:t>
      </w:r>
      <w:r w:rsidRPr="007648D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7684E321"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w:t>
      </w:r>
      <w:r w:rsidR="00270EF0" w:rsidRPr="007648D3">
        <w:rPr>
          <w:rFonts w:asciiTheme="minorHAnsi" w:hAnsiTheme="minorHAnsi" w:cstheme="minorHAnsi"/>
          <w:sz w:val="22"/>
          <w:szCs w:val="22"/>
        </w:rPr>
        <w:t>unacceptable,</w:t>
      </w:r>
      <w:r w:rsidRPr="007648D3">
        <w:rPr>
          <w:rFonts w:asciiTheme="minorHAnsi" w:hAnsiTheme="minorHAnsi" w:cstheme="minorHAnsi"/>
          <w:sz w:val="22"/>
          <w:szCs w:val="22"/>
        </w:rPr>
        <w:t xml:space="preserve"> and behaviour could be harassment when the person had no intention to offend.  We all have the right to determine what offends us.  Some behaviour will be clear to any reasonable person that it is likely to offend – for example sexual touching. Other examples may be less </w:t>
      </w:r>
      <w:r w:rsidR="00270EF0" w:rsidRPr="007648D3">
        <w:rPr>
          <w:rFonts w:asciiTheme="minorHAnsi" w:hAnsiTheme="minorHAnsi" w:cstheme="minorHAnsi"/>
          <w:sz w:val="22"/>
          <w:szCs w:val="22"/>
        </w:rPr>
        <w:t>clear</w:t>
      </w:r>
      <w:r w:rsidR="00270EF0">
        <w:rPr>
          <w:rFonts w:asciiTheme="minorHAnsi" w:hAnsiTheme="minorHAnsi" w:cstheme="minorHAnsi"/>
          <w:sz w:val="22"/>
          <w:szCs w:val="22"/>
        </w:rPr>
        <w:t>;</w:t>
      </w:r>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1F13C9C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w:t>
      </w:r>
      <w:r w:rsidR="00270EF0" w:rsidRPr="007648D3">
        <w:rPr>
          <w:rFonts w:asciiTheme="minorHAnsi" w:hAnsiTheme="minorHAnsi" w:cstheme="minorHAnsi"/>
          <w:sz w:val="22"/>
          <w:szCs w:val="22"/>
        </w:rPr>
        <w:t>(such</w:t>
      </w:r>
      <w:r w:rsidRPr="007648D3">
        <w:rPr>
          <w:rFonts w:asciiTheme="minorHAnsi" w:hAnsiTheme="minorHAnsi" w:cstheme="minorHAnsi"/>
          <w:sz w:val="22"/>
          <w:szCs w:val="22"/>
        </w:rPr>
        <w:t xml:space="preserve"> as offensive jokes or comments based on the assumption someone is gay, even if they are not) or due </w:t>
      </w:r>
      <w:r w:rsidRPr="007648D3">
        <w:rPr>
          <w:rFonts w:asciiTheme="minorHAnsi" w:hAnsiTheme="minorHAnsi" w:cstheme="minorHAnsi"/>
          <w:sz w:val="22"/>
          <w:szCs w:val="22"/>
        </w:rPr>
        <w:lastRenderedPageBreak/>
        <w:t xml:space="preserve">to their association with someone else (such as harassment related to their partner having a disability for example).  </w:t>
      </w:r>
      <w:r w:rsidRPr="00A763C6">
        <w:rPr>
          <w:rFonts w:asciiTheme="minorHAnsi" w:hAnsiTheme="minorHAnsi" w:cstheme="minorHAnsi"/>
          <w:sz w:val="22"/>
          <w:szCs w:val="22"/>
        </w:rPr>
        <w:t xml:space="preserve">See the </w:t>
      </w:r>
      <w:r w:rsidR="00681DBA" w:rsidRPr="00A763C6">
        <w:rPr>
          <w:rFonts w:asciiTheme="minorHAnsi" w:hAnsiTheme="minorHAnsi" w:cstheme="minorHAnsi"/>
          <w:sz w:val="22"/>
          <w:szCs w:val="22"/>
        </w:rPr>
        <w:t xml:space="preserve">council’s equality </w:t>
      </w:r>
      <w:r w:rsidRPr="00A763C6">
        <w:rPr>
          <w:rFonts w:asciiTheme="minorHAnsi" w:hAnsiTheme="minorHAnsi" w:cstheme="minorHAnsi"/>
          <w:sz w:val="22"/>
          <w:szCs w:val="22"/>
        </w:rPr>
        <w:t xml:space="preserve">and </w:t>
      </w:r>
      <w:r w:rsidR="00681DBA" w:rsidRPr="00A763C6">
        <w:rPr>
          <w:rFonts w:asciiTheme="minorHAnsi" w:hAnsiTheme="minorHAnsi" w:cstheme="minorHAnsi"/>
          <w:sz w:val="22"/>
          <w:szCs w:val="22"/>
        </w:rPr>
        <w:t xml:space="preserve">diversity </w:t>
      </w:r>
      <w:r w:rsidRPr="00A763C6">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0C9F61DF"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behaviour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31E2381F" w14:textId="69B57FDC" w:rsidR="00AC6667" w:rsidRPr="007F41DD"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4E8FDD18" w14:textId="6DA4F596"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sidRPr="007648D3">
        <w:rPr>
          <w:rStyle w:val="normaltextrun"/>
          <w:rFonts w:asciiTheme="minorHAnsi" w:eastAsiaTheme="majorEastAsia" w:hAnsiTheme="minorHAnsi" w:cstheme="minorHAnsi"/>
          <w:color w:val="2F5496"/>
          <w:sz w:val="22"/>
          <w:szCs w:val="22"/>
        </w:rPr>
        <w:t xml:space="preserve">This is an example of an employment policy designed for a </w:t>
      </w:r>
      <w:r w:rsidR="00203284">
        <w:rPr>
          <w:rStyle w:val="normaltextrun"/>
          <w:rFonts w:asciiTheme="minorHAnsi" w:eastAsiaTheme="majorEastAsia" w:hAnsiTheme="minorHAnsi" w:cstheme="minorHAnsi"/>
          <w:color w:val="2F5496"/>
          <w:sz w:val="22"/>
          <w:szCs w:val="22"/>
        </w:rPr>
        <w:t>c</w:t>
      </w:r>
      <w:r w:rsidR="00203284" w:rsidRPr="007648D3">
        <w:rPr>
          <w:rStyle w:val="normaltextrun"/>
          <w:rFonts w:asciiTheme="minorHAnsi" w:eastAsiaTheme="majorEastAsia" w:hAnsiTheme="minorHAnsi" w:cstheme="minorHAnsi"/>
          <w:color w:val="2F5496"/>
          <w:sz w:val="22"/>
          <w:szCs w:val="22"/>
        </w:rPr>
        <w:t xml:space="preserve">ouncil </w:t>
      </w:r>
      <w:r w:rsidRPr="007648D3">
        <w:rPr>
          <w:rStyle w:val="normaltextrun"/>
          <w:rFonts w:asciiTheme="minorHAnsi" w:eastAsiaTheme="majorEastAsia" w:hAnsiTheme="minorHAnsi" w:cstheme="minorHAnsi"/>
          <w:color w:val="2F5496"/>
          <w:sz w:val="22"/>
          <w:szCs w:val="22"/>
        </w:rPr>
        <w:t>adhering to statutory minimum requirements and does not constitute legal advice. As with all policies it should be consistent with your terms and conditions of employment. </w:t>
      </w:r>
      <w:r w:rsidRPr="007648D3">
        <w:rPr>
          <w:rStyle w:val="eop"/>
          <w:rFonts w:asciiTheme="minorHAnsi" w:eastAsiaTheme="majorEastAsia" w:hAnsiTheme="minorHAnsi" w:cstheme="minorHAnsi"/>
          <w:color w:val="2F5496"/>
          <w:sz w:val="22"/>
          <w:szCs w:val="22"/>
        </w:rPr>
        <w:t> </w:t>
      </w:r>
    </w:p>
    <w:p w14:paraId="521ADFA9" w14:textId="77777777"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p>
    <w:p w14:paraId="439268D5" w14:textId="733859B6"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Pr>
          <w:rStyle w:val="eop"/>
          <w:rFonts w:asciiTheme="minorHAnsi" w:eastAsiaTheme="majorEastAsia" w:hAnsiTheme="minorHAnsi" w:cstheme="minorHAnsi"/>
          <w:color w:val="2F5496"/>
          <w:sz w:val="22"/>
          <w:szCs w:val="22"/>
        </w:rPr>
        <w:t xml:space="preserve">This guidance is provided to support </w:t>
      </w:r>
      <w:r w:rsidR="00AB1AAB">
        <w:rPr>
          <w:rStyle w:val="eop"/>
          <w:rFonts w:asciiTheme="minorHAnsi" w:eastAsiaTheme="majorEastAsia" w:hAnsiTheme="minorHAnsi" w:cstheme="minorHAnsi"/>
          <w:color w:val="2F5496"/>
          <w:sz w:val="22"/>
          <w:szCs w:val="22"/>
        </w:rPr>
        <w:t>understanding of the policy, and its application, as well as where local adaptions may be required.  The guidance is not part of the policy and should be removed</w:t>
      </w:r>
      <w:r w:rsidR="00294E00">
        <w:rPr>
          <w:rStyle w:val="eop"/>
          <w:rFonts w:asciiTheme="minorHAnsi" w:eastAsiaTheme="majorEastAsia" w:hAnsiTheme="minorHAnsi" w:cstheme="minorHAnsi"/>
          <w:color w:val="2F5496"/>
          <w:sz w:val="22"/>
          <w:szCs w:val="22"/>
        </w:rPr>
        <w:t xml:space="preserve"> </w:t>
      </w:r>
      <w:r w:rsidR="009F349C">
        <w:rPr>
          <w:rStyle w:val="eop"/>
          <w:rFonts w:asciiTheme="minorHAnsi" w:eastAsiaTheme="majorEastAsia" w:hAnsiTheme="minorHAnsi" w:cstheme="minorHAnsi"/>
          <w:color w:val="2F5496"/>
          <w:sz w:val="22"/>
          <w:szCs w:val="22"/>
        </w:rPr>
        <w:t xml:space="preserve">from </w:t>
      </w:r>
      <w:r w:rsidR="00294E00">
        <w:rPr>
          <w:rStyle w:val="eop"/>
          <w:rFonts w:asciiTheme="minorHAnsi" w:eastAsiaTheme="majorEastAsia" w:hAnsiTheme="minorHAnsi" w:cstheme="minorHAnsi"/>
          <w:color w:val="2F5496"/>
          <w:sz w:val="22"/>
          <w:szCs w:val="22"/>
        </w:rPr>
        <w:t xml:space="preserve">the policy adopted and shared with </w:t>
      </w:r>
      <w:r w:rsidR="00203284">
        <w:rPr>
          <w:rStyle w:val="eop"/>
          <w:rFonts w:asciiTheme="minorHAnsi" w:eastAsiaTheme="majorEastAsia" w:hAnsiTheme="minorHAnsi" w:cstheme="minorHAnsi"/>
          <w:color w:val="2F5496"/>
          <w:sz w:val="22"/>
          <w:szCs w:val="22"/>
        </w:rPr>
        <w:t xml:space="preserve">council </w:t>
      </w:r>
      <w:r w:rsidR="00980039">
        <w:rPr>
          <w:rStyle w:val="eop"/>
          <w:rFonts w:asciiTheme="minorHAnsi" w:eastAsiaTheme="majorEastAsia" w:hAnsiTheme="minorHAnsi" w:cstheme="minorHAnsi"/>
          <w:color w:val="2F5496"/>
          <w:sz w:val="22"/>
          <w:szCs w:val="22"/>
        </w:rPr>
        <w:t>employees.</w:t>
      </w:r>
    </w:p>
    <w:p w14:paraId="50375C30" w14:textId="77777777" w:rsidR="009216D2" w:rsidRDefault="009216D2" w:rsidP="007648D3">
      <w:pPr>
        <w:spacing w:after="200" w:line="276" w:lineRule="auto"/>
        <w:jc w:val="both"/>
        <w:rPr>
          <w:rFonts w:asciiTheme="minorHAnsi" w:eastAsia="Calibri" w:hAnsiTheme="minorHAnsi" w:cstheme="minorHAnsi"/>
          <w:bCs/>
          <w:iCs/>
          <w:sz w:val="22"/>
          <w:szCs w:val="22"/>
          <w:lang w:eastAsia="en-US"/>
        </w:rPr>
      </w:pP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maintain their dignity at all times.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43D566CD"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w:t>
      </w:r>
      <w:r w:rsidR="00270EF0" w:rsidRPr="00694531">
        <w:rPr>
          <w:rFonts w:asciiTheme="minorHAnsi" w:eastAsia="Calibri" w:hAnsiTheme="minorHAnsi" w:cstheme="minorHAnsi"/>
          <w:bCs/>
          <w:iCs/>
          <w:sz w:val="22"/>
          <w:szCs w:val="22"/>
          <w:lang w:eastAsia="en-US"/>
        </w:rPr>
        <w:t>however,</w:t>
      </w:r>
      <w:r w:rsidRPr="00694531">
        <w:rPr>
          <w:rFonts w:asciiTheme="minorHAnsi" w:eastAsia="Calibri" w:hAnsiTheme="minorHAnsi" w:cstheme="minorHAnsi"/>
          <w:bCs/>
          <w:iCs/>
          <w:sz w:val="22"/>
          <w:szCs w:val="22"/>
          <w:lang w:eastAsia="en-US"/>
        </w:rPr>
        <w:t xml:space="preserve">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8"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19"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0"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1"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01E9226D"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of harassment related to a protected characteristic could include;</w:t>
      </w:r>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3E5455E2"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assumptions </w:t>
      </w:r>
      <w:r w:rsidR="00C27B4A">
        <w:rPr>
          <w:rStyle w:val="eop"/>
          <w:rFonts w:asciiTheme="minorHAnsi" w:eastAsiaTheme="majorEastAsia" w:hAnsiTheme="minorHAnsi" w:cstheme="minorHAnsi"/>
          <w:sz w:val="22"/>
          <w:szCs w:val="22"/>
        </w:rPr>
        <w:t xml:space="preserve">about someone’s ability due to their </w:t>
      </w:r>
      <w:r w:rsidR="00C27B4A" w:rsidRPr="00F600DB">
        <w:rPr>
          <w:rStyle w:val="eop"/>
          <w:rFonts w:asciiTheme="minorHAnsi" w:eastAsiaTheme="majorEastAsia" w:hAnsiTheme="minorHAnsi" w:cstheme="minorHAnsi"/>
          <w:b/>
          <w:bCs/>
          <w:sz w:val="22"/>
          <w:szCs w:val="22"/>
        </w:rPr>
        <w:t>age</w:t>
      </w:r>
      <w:r w:rsidR="00C27B4A">
        <w:rPr>
          <w:rStyle w:val="eop"/>
          <w:rFonts w:asciiTheme="minorHAnsi" w:eastAsiaTheme="majorEastAsia" w:hAnsiTheme="minorHAnsi" w:cstheme="minorHAnsi"/>
          <w:sz w:val="22"/>
          <w:szCs w:val="22"/>
        </w:rPr>
        <w:t>,</w:t>
      </w:r>
      <w:r w:rsidR="00081D91">
        <w:rPr>
          <w:rStyle w:val="eop"/>
          <w:rFonts w:asciiTheme="minorHAnsi" w:eastAsiaTheme="majorEastAsia" w:hAnsiTheme="minorHAnsi" w:cstheme="minorHAnsi"/>
          <w:sz w:val="22"/>
          <w:szCs w:val="22"/>
        </w:rPr>
        <w:t xml:space="preserve"> </w:t>
      </w:r>
      <w:r w:rsidR="00C27B4A">
        <w:rPr>
          <w:rStyle w:val="eop"/>
          <w:rFonts w:asciiTheme="minorHAnsi" w:eastAsiaTheme="majorEastAsia" w:hAnsiTheme="minorHAnsi" w:cstheme="minorHAnsi"/>
          <w:sz w:val="22"/>
          <w:szCs w:val="22"/>
        </w:rPr>
        <w:t xml:space="preserve">or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3CB663DC"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gender, or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040F131C"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pregnant persons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1FC4B957"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people for a job based on gender stereotyping roles, or</w:t>
      </w:r>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1120371F"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New or established employees who are </w:t>
      </w:r>
      <w:r w:rsidR="00270EF0" w:rsidRPr="007648D3">
        <w:rPr>
          <w:rStyle w:val="normaltextrun"/>
          <w:rFonts w:asciiTheme="minorHAnsi" w:eastAsiaTheme="majorEastAsia" w:hAnsiTheme="minorHAnsi" w:cstheme="minorHAnsi"/>
          <w:sz w:val="22"/>
          <w:szCs w:val="22"/>
        </w:rPr>
        <w:t>dismissed</w:t>
      </w:r>
      <w:r w:rsidR="00270EF0" w:rsidRPr="007648D3">
        <w:rPr>
          <w:rStyle w:val="normaltextrun"/>
          <w:rFonts w:asciiTheme="minorHAnsi" w:hAnsiTheme="minorHAnsi" w:cstheme="minorHAnsi"/>
          <w:sz w:val="22"/>
          <w:szCs w:val="22"/>
        </w:rPr>
        <w:t xml:space="preserve"> or</w:t>
      </w:r>
      <w:r w:rsidRPr="007648D3">
        <w:rPr>
          <w:rStyle w:val="normaltextrun"/>
          <w:rFonts w:asciiTheme="minorHAnsi" w:hAnsiTheme="minorHAnsi" w:cstheme="minorHAnsi"/>
          <w:sz w:val="22"/>
          <w:szCs w:val="22"/>
        </w:rPr>
        <w:t xml:space="preserve">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can take people a period of time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so as to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culture,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and also in how standards of behaviour are applied through the use of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6A628E6F"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representatives are expected to uphold the values of the Dignity at Work Policy</w:t>
      </w:r>
      <w:r w:rsidR="00CF2DC9">
        <w:rPr>
          <w:rStyle w:val="normaltextrun"/>
          <w:rFonts w:asciiTheme="minorHAnsi" w:hAnsiTheme="minorHAnsi" w:cstheme="minorHAnsi"/>
          <w:sz w:val="22"/>
          <w:szCs w:val="22"/>
        </w:rPr>
        <w:t xml:space="preserve">, however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 xml:space="preserve">the disciplinary process)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r w:rsidRPr="007648D3">
        <w:rPr>
          <w:rStyle w:val="normaltextrun"/>
          <w:rFonts w:asciiTheme="minorHAnsi" w:hAnsiTheme="minorHAnsi" w:cstheme="minorHAnsi"/>
          <w:sz w:val="22"/>
          <w:szCs w:val="22"/>
        </w:rPr>
        <w:t xml:space="preserve">Chair, or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76EFC25C"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Offer other support that may be appropriate to the situation such as signposting to support groups, time off for counselling etc.  If you have suspended a staff member, your duty of care </w:t>
      </w:r>
      <w:r w:rsidR="00270EF0" w:rsidRPr="007648D3">
        <w:rPr>
          <w:rStyle w:val="normaltextrun"/>
          <w:rFonts w:asciiTheme="minorHAnsi" w:eastAsiaTheme="majorEastAsia" w:hAnsiTheme="minorHAnsi" w:cstheme="minorHAnsi"/>
          <w:sz w:val="22"/>
          <w:szCs w:val="22"/>
        </w:rPr>
        <w:t>continues,</w:t>
      </w:r>
      <w:r w:rsidRPr="007648D3">
        <w:rPr>
          <w:rStyle w:val="normaltextrun"/>
          <w:rFonts w:asciiTheme="minorHAnsi" w:eastAsiaTheme="majorEastAsia" w:hAnsiTheme="minorHAnsi" w:cstheme="minorHAnsi"/>
          <w:sz w:val="22"/>
          <w:szCs w:val="22"/>
        </w:rPr>
        <w:t xml:space="preserve">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5CC7BAA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xml:space="preserve">) speaking to the alleged perpetrator must be clear that the discussion is </w:t>
      </w:r>
      <w:r w:rsidR="00270EF0" w:rsidRPr="007648D3">
        <w:rPr>
          <w:rStyle w:val="normaltextrun"/>
          <w:rFonts w:asciiTheme="minorHAnsi" w:hAnsiTheme="minorHAnsi" w:cstheme="minorHAnsi"/>
          <w:sz w:val="22"/>
          <w:szCs w:val="22"/>
        </w:rPr>
        <w:t>confidential,</w:t>
      </w:r>
      <w:r w:rsidRPr="007648D3">
        <w:rPr>
          <w:rStyle w:val="normaltextrun"/>
          <w:rFonts w:asciiTheme="minorHAnsi" w:hAnsiTheme="minorHAnsi" w:cstheme="minorHAnsi"/>
          <w:sz w:val="22"/>
          <w:szCs w:val="22"/>
        </w:rPr>
        <w:t xml:space="preserve">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6EF5A0DA"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w:t>
      </w:r>
      <w:r w:rsidR="00270EF0" w:rsidRPr="007648D3">
        <w:rPr>
          <w:rStyle w:val="normaltextrun"/>
          <w:rFonts w:asciiTheme="minorHAnsi" w:hAnsiTheme="minorHAnsi" w:cstheme="minorHAnsi"/>
          <w:sz w:val="22"/>
          <w:szCs w:val="22"/>
        </w:rPr>
        <w:t>situations,</w:t>
      </w:r>
      <w:r w:rsidRPr="007648D3">
        <w:rPr>
          <w:rStyle w:val="normaltextrun"/>
          <w:rFonts w:asciiTheme="minorHAnsi" w:hAnsiTheme="minorHAnsi" w:cstheme="minorHAnsi"/>
          <w:sz w:val="22"/>
          <w:szCs w:val="22"/>
        </w:rPr>
        <w:t xml:space="preserve"> it may be appropriate to provide anonymised witness statements however this would be a last resort, and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w:t>
      </w:r>
      <w:r w:rsidRPr="007648D3">
        <w:rPr>
          <w:rStyle w:val="normaltextrun"/>
          <w:rFonts w:asciiTheme="minorHAnsi" w:hAnsiTheme="minorHAnsi" w:cstheme="minorHAnsi"/>
          <w:sz w:val="22"/>
          <w:szCs w:val="22"/>
        </w:rPr>
        <w:t>ing</w:t>
      </w:r>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2584BC5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If an employee makes an allegation that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would be potentially </w:t>
      </w:r>
      <w:r w:rsidRPr="007648D3">
        <w:rPr>
          <w:rStyle w:val="normaltextrun"/>
          <w:rFonts w:asciiTheme="minorHAnsi" w:hAnsiTheme="minorHAnsi" w:cstheme="minorHAnsi"/>
          <w:sz w:val="22"/>
          <w:szCs w:val="22"/>
        </w:rPr>
        <w:t xml:space="preserve">be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ouncil 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B863841" w14:textId="0D40E4B4"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as a whole due to lack of support related to councillor behaviours.  The specific allegations will need to be considered to determine whether the allegations can be addressed by the </w:t>
      </w:r>
      <w:r w:rsidR="00270EF0">
        <w:rPr>
          <w:rStyle w:val="eop"/>
          <w:rFonts w:asciiTheme="minorHAnsi" w:eastAsiaTheme="majorEastAsia" w:hAnsiTheme="minorHAnsi" w:cstheme="minorBidi"/>
          <w:sz w:val="22"/>
          <w:szCs w:val="22"/>
        </w:rPr>
        <w:t>council or</w:t>
      </w:r>
      <w:r>
        <w:rPr>
          <w:rStyle w:val="eop"/>
          <w:rFonts w:asciiTheme="minorHAnsi" w:eastAsiaTheme="majorEastAsia" w:hAnsiTheme="minorHAnsi" w:cstheme="minorBidi"/>
          <w:sz w:val="22"/>
          <w:szCs w:val="22"/>
        </w:rPr>
        <w:t xml:space="preserve"> require exploration of the councillors behaviour in order to respond, in which case the Monitoring Officer may be required to 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29B61E96" w14:textId="26AD7572"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5E5F08E4"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7EE50A1C" w14:textId="33C1DAF8"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2EFA2D3E" w14:textId="4EA6727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2835D35" w14:textId="649BA9B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42CBE904" w14:textId="77777777" w:rsidR="000735C9" w:rsidRPr="007648D3" w:rsidRDefault="000735C9"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headerReference w:type="default" r:id="rId22"/>
      <w:footerReference w:type="default" r:id="rId2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BCD3" w14:textId="77777777" w:rsidR="009C3FDA" w:rsidRDefault="009C3FDA" w:rsidP="00081D91">
      <w:r>
        <w:separator/>
      </w:r>
    </w:p>
  </w:endnote>
  <w:endnote w:type="continuationSeparator" w:id="0">
    <w:p w14:paraId="30AF0284" w14:textId="77777777" w:rsidR="009C3FDA" w:rsidRDefault="009C3FDA"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5761"/>
      <w:docPartObj>
        <w:docPartGallery w:val="Page Numbers (Bottom of Page)"/>
        <w:docPartUnique/>
      </w:docPartObj>
    </w:sdtPr>
    <w:sdtEndPr>
      <w:rPr>
        <w:noProof/>
      </w:rPr>
    </w:sdtEndPr>
    <w:sdtContent>
      <w:p w14:paraId="653113E4" w14:textId="3E55DA2D" w:rsidR="00270EF0" w:rsidRDefault="00270E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C88F8A" w14:textId="23C55A97"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BA19" w14:textId="77777777" w:rsidR="009C3FDA" w:rsidRDefault="009C3FDA" w:rsidP="00081D91">
      <w:r>
        <w:separator/>
      </w:r>
    </w:p>
  </w:footnote>
  <w:footnote w:type="continuationSeparator" w:id="0">
    <w:p w14:paraId="75A2EAAE" w14:textId="77777777" w:rsidR="009C3FDA" w:rsidRDefault="009C3FDA" w:rsidP="0008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5A96" w14:textId="74DC8455" w:rsidR="00270EF0" w:rsidRDefault="00270EF0">
    <w:pPr>
      <w:pStyle w:val="Header"/>
    </w:pPr>
    <w:r>
      <w:t>POLICY, PROCEDURES AND GUIDELINES                                      9.12 DIGNITY AT WORK POLICY</w:t>
    </w:r>
  </w:p>
  <w:p w14:paraId="5B6E05A9" w14:textId="562783C0" w:rsidR="00270EF0" w:rsidRDefault="00270EF0">
    <w:pPr>
      <w:pStyle w:val="Header"/>
    </w:pPr>
    <w:r>
      <w:t>9. FULL COUNCIL</w:t>
    </w:r>
  </w:p>
  <w:p w14:paraId="26B4D22A" w14:textId="77777777" w:rsidR="00270EF0" w:rsidRDefault="00270EF0">
    <w:pPr>
      <w:pStyle w:val="Header"/>
    </w:pPr>
  </w:p>
  <w:p w14:paraId="598303E2" w14:textId="77777777" w:rsidR="00270EF0" w:rsidRDefault="00270EF0">
    <w:pPr>
      <w:pStyle w:val="Header"/>
    </w:pPr>
  </w:p>
  <w:p w14:paraId="5DC394E5" w14:textId="77777777" w:rsidR="00270EF0" w:rsidRDefault="00270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7CA1"/>
    <w:rsid w:val="000735C9"/>
    <w:rsid w:val="00081D91"/>
    <w:rsid w:val="000A5A4C"/>
    <w:rsid w:val="000A5C04"/>
    <w:rsid w:val="000D3641"/>
    <w:rsid w:val="000E6A43"/>
    <w:rsid w:val="000E770B"/>
    <w:rsid w:val="00105E5E"/>
    <w:rsid w:val="00114333"/>
    <w:rsid w:val="0013505C"/>
    <w:rsid w:val="00141E55"/>
    <w:rsid w:val="00143BEC"/>
    <w:rsid w:val="001523FD"/>
    <w:rsid w:val="00163CDE"/>
    <w:rsid w:val="00170CB8"/>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0EF0"/>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453D9"/>
    <w:rsid w:val="00761119"/>
    <w:rsid w:val="007648D3"/>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B524F"/>
    <w:rsid w:val="008C431C"/>
    <w:rsid w:val="008E655B"/>
    <w:rsid w:val="008F6466"/>
    <w:rsid w:val="008F65EE"/>
    <w:rsid w:val="00902E09"/>
    <w:rsid w:val="009121E5"/>
    <w:rsid w:val="009135AA"/>
    <w:rsid w:val="009200D1"/>
    <w:rsid w:val="009216D2"/>
    <w:rsid w:val="00980039"/>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2211"/>
    <w:rsid w:val="00A53FC8"/>
    <w:rsid w:val="00A763C6"/>
    <w:rsid w:val="00A91576"/>
    <w:rsid w:val="00A92D1C"/>
    <w:rsid w:val="00AA2C4C"/>
    <w:rsid w:val="00AB1570"/>
    <w:rsid w:val="00AB1AAB"/>
    <w:rsid w:val="00AB38E5"/>
    <w:rsid w:val="00AC3C66"/>
    <w:rsid w:val="00AC443E"/>
    <w:rsid w:val="00AC6667"/>
    <w:rsid w:val="00AD1F94"/>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34A02"/>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5CCB"/>
    <w:rsid w:val="00CD4E87"/>
    <w:rsid w:val="00CE1363"/>
    <w:rsid w:val="00CE1A18"/>
    <w:rsid w:val="00CF2DC9"/>
    <w:rsid w:val="00D06056"/>
    <w:rsid w:val="00D11357"/>
    <w:rsid w:val="00D22503"/>
    <w:rsid w:val="00D2669A"/>
    <w:rsid w:val="00D30E3E"/>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66893"/>
    <w:rsid w:val="00E906EF"/>
    <w:rsid w:val="00E9189B"/>
    <w:rsid w:val="00EA2190"/>
    <w:rsid w:val="00EB0623"/>
    <w:rsid w:val="00EB41C5"/>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iPriority w:val="99"/>
    <w:unhideWhenUsed/>
    <w:rsid w:val="00AC6667"/>
    <w:pPr>
      <w:tabs>
        <w:tab w:val="center" w:pos="4680"/>
        <w:tab w:val="right" w:pos="9360"/>
      </w:tabs>
    </w:pPr>
  </w:style>
  <w:style w:type="character" w:customStyle="1" w:styleId="HeaderChar">
    <w:name w:val="Header Char"/>
    <w:basedOn w:val="DefaultParagraphFont"/>
    <w:link w:val="Header"/>
    <w:uiPriority w:val="99"/>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xperthr.co.uk/glossary/disability/150055/" TargetMode="External"/><Relationship Id="rId3" Type="http://schemas.openxmlformats.org/officeDocument/2006/relationships/customXml" Target="../customXml/item3.xml"/><Relationship Id="rId21" Type="http://schemas.openxmlformats.org/officeDocument/2006/relationships/hyperlink" Target="https://www.xperthr.co.uk/glossary/religion-or-belief/150058/" TargetMode="Externa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xperthr.co.uk/glossary/sexual-orientation/1500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xperthr.co.uk/glossary/gender-reassignment/150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2.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32029</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Jo STC</cp:lastModifiedBy>
  <cp:revision>3</cp:revision>
  <cp:lastPrinted>2022-05-30T08:08:00Z</cp:lastPrinted>
  <dcterms:created xsi:type="dcterms:W3CDTF">2023-01-24T10:47:00Z</dcterms:created>
  <dcterms:modified xsi:type="dcterms:W3CDTF">2025-02-13T11:28:00Z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